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40"/>
      </w:pPr>
      <w:r>
        <w:rPr>
          <w:rFonts w:ascii="Calibri" w:hAnsi="Calibri"/>
          <w:b/>
          <w:i w:val="0"/>
          <w:color w:val="C76542"/>
          <w:sz w:val="18"/>
        </w:rPr>
        <w:t>STUDIO HANDBOOK</w:t>
      </w:r>
    </w:p>
    <w:p>
      <w:pPr>
        <w:spacing w:before="0" w:after="140"/>
      </w:pPr>
      <w:r>
        <w:rPr>
          <w:rFonts w:ascii="Calibri" w:hAnsi="Calibri"/>
          <w:b/>
          <w:i w:val="0"/>
          <w:color w:val="102A34"/>
          <w:sz w:val="60"/>
        </w:rPr>
        <w:t>Pollock Piano Policy</w:t>
      </w:r>
    </w:p>
    <w:p>
      <w:pPr>
        <w:spacing w:before="0" w:after="320"/>
      </w:pPr>
      <w:r>
        <w:rPr>
          <w:rFonts w:ascii="Calibri" w:hAnsi="Calibri"/>
          <w:b w:val="0"/>
          <w:i/>
          <w:color w:val="56676E"/>
          <w:sz w:val="27"/>
        </w:rPr>
        <w:t>Clear expectations for consistent, rewarding musical study.</w:t>
      </w:r>
    </w:p>
    <w:tbl>
      <w:tblPr>
        <w:tblStyle w:val="TableGrid"/>
        <w:tblW w:type="dxa" w:w="9360"/>
        <w:jc w:val="left"/>
        <w:tblLayout w:type="fixed"/>
        <w:tblLook w:firstColumn="1" w:firstRow="1" w:lastColumn="0" w:lastRow="0" w:noHBand="0" w:noVBand="1" w:val="04A0"/>
        <w:tblInd w:w="120" w:type="dxa"/>
      </w:tblPr>
      <w:tblGrid>
        <w:gridCol w:w="1800"/>
        <w:gridCol w:w="7560"/>
      </w:tblGrid>
      <w:tr>
        <w:tc>
          <w:tcPr>
            <w:tcW w:type="dxa" w:w="1800"/>
            <w:tcMar>
              <w:top w:w="110" w:type="dxa"/>
              <w:start w:w="120" w:type="dxa"/>
              <w:bottom w:w="110" w:type="dxa"/>
              <w:end w:w="120" w:type="dxa"/>
            </w:tcMar>
            <w:vAlign w:val="center"/>
            <w:shd w:fill="E8EEF5"/>
          </w:tcPr>
          <w:p>
            <w:pPr>
              <w:spacing w:before="0" w:after="0"/>
            </w:pPr>
            <w:r>
              <w:rPr>
                <w:rFonts w:ascii="Calibri" w:hAnsi="Calibri"/>
                <w:b/>
                <w:i w:val="0"/>
                <w:color w:val="102A34"/>
                <w:sz w:val="19"/>
              </w:rPr>
              <w:t>Instructor</w:t>
            </w:r>
          </w:p>
        </w:tc>
        <w:tc>
          <w:tcPr>
            <w:tcW w:type="dxa" w:w="7560"/>
            <w:tcMar>
              <w:top w:w="110" w:type="dxa"/>
              <w:start w:w="120" w:type="dxa"/>
              <w:bottom w:w="110" w:type="dxa"/>
              <w:end w:w="120" w:type="dxa"/>
            </w:tcMar>
            <w:vAlign w:val="center"/>
          </w:tcPr>
          <w:p>
            <w:pPr>
              <w:spacing w:before="0" w:after="0"/>
            </w:pPr>
            <w:r>
              <w:rPr>
                <w:rFonts w:ascii="Calibri" w:hAnsi="Calibri"/>
                <w:b w:val="0"/>
                <w:i w:val="0"/>
                <w:color w:val="102A34"/>
                <w:sz w:val="19"/>
              </w:rPr>
              <w:t>Sean Pollock</w:t>
            </w:r>
          </w:p>
        </w:tc>
      </w:tr>
      <w:tr>
        <w:tc>
          <w:tcPr>
            <w:tcW w:type="dxa" w:w="1800"/>
            <w:tcMar>
              <w:top w:w="110" w:type="dxa"/>
              <w:start w:w="120" w:type="dxa"/>
              <w:bottom w:w="110" w:type="dxa"/>
              <w:end w:w="120" w:type="dxa"/>
            </w:tcMar>
            <w:vAlign w:val="center"/>
            <w:shd w:fill="E8EEF5"/>
          </w:tcPr>
          <w:p>
            <w:pPr>
              <w:spacing w:before="0" w:after="0"/>
            </w:pPr>
            <w:r>
              <w:rPr>
                <w:rFonts w:ascii="Calibri" w:hAnsi="Calibri"/>
                <w:b/>
                <w:i w:val="0"/>
                <w:color w:val="102A34"/>
                <w:sz w:val="19"/>
              </w:rPr>
              <w:t>Contact</w:t>
            </w:r>
          </w:p>
        </w:tc>
        <w:tc>
          <w:tcPr>
            <w:tcW w:type="dxa" w:w="7560"/>
            <w:tcMar>
              <w:top w:w="110" w:type="dxa"/>
              <w:start w:w="120" w:type="dxa"/>
              <w:bottom w:w="110" w:type="dxa"/>
              <w:end w:w="120" w:type="dxa"/>
            </w:tcMar>
            <w:vAlign w:val="center"/>
          </w:tcPr>
          <w:p>
            <w:pPr>
              <w:spacing w:before="0" w:after="0"/>
            </w:pPr>
            <w:r>
              <w:rPr>
                <w:rFonts w:ascii="Calibri" w:hAnsi="Calibri"/>
                <w:b w:val="0"/>
                <w:i w:val="0"/>
                <w:color w:val="102A34"/>
                <w:sz w:val="19"/>
              </w:rPr>
              <w:t>jboropiano@gmail.com  ·  870-219-9664</w:t>
            </w:r>
          </w:p>
        </w:tc>
      </w:tr>
    </w:tbl>
    <w:p>
      <w:pPr>
        <w:spacing w:before="300" w:after="140" w:line="300" w:lineRule="auto"/>
      </w:pPr>
      <w:r>
        <w:rPr>
          <w:rFonts w:ascii="Calibri" w:hAnsi="Calibri"/>
          <w:b/>
          <w:i w:val="0"/>
          <w:color w:val="C76542"/>
          <w:sz w:val="22"/>
        </w:rPr>
        <w:t>Welcome.</w:t>
      </w:r>
      <w:r>
        <w:rPr>
          <w:rFonts w:ascii="Calibri" w:hAnsi="Calibri"/>
          <w:b w:val="0"/>
          <w:i w:val="0"/>
          <w:color w:val="102A34"/>
          <w:sz w:val="22"/>
        </w:rPr>
        <w:t xml:space="preserve"> Piano study is a partnership among student, teacher, and family. This policy protects reserved lesson time, supports steady progress, and keeps expectations fair for everyone in the studio.</w:t>
      </w:r>
    </w:p>
    <w:p>
      <w:pPr>
        <w:pStyle w:val="Heading1"/>
        <w:keepNext/>
      </w:pPr>
      <w:r>
        <w:t>1. Instruction and enrollment</w:t>
      </w:r>
    </w:p>
    <w:p>
      <w:r>
        <w:rPr>
          <w:rFonts w:ascii="Calibri" w:hAnsi="Calibri"/>
          <w:b w:val="0"/>
          <w:i w:val="0"/>
          <w:color w:val="102A34"/>
          <w:sz w:val="22"/>
        </w:rPr>
        <w:t>Lessons are individualized for students of all ages and may include music reading, rhythm, theory, ear training, technique, repertoire, interpretation, and effective practice strategies. Classical, popular, sacred, jazz, and other styles may be included according to the student's goals and level.</w:t>
      </w:r>
    </w:p>
    <w:p>
      <w:pPr>
        <w:spacing w:before="0" w:after="80" w:line="300" w:lineRule="auto"/>
        <w:numPr>
          <w:ilvl w:val="0"/>
          <w:numId w:val="10"/>
        </w:numPr>
      </w:pPr>
      <w:r>
        <w:rPr>
          <w:rFonts w:ascii="Calibri" w:hAnsi="Calibri"/>
          <w:b w:val="0"/>
          <w:i w:val="0"/>
          <w:color w:val="102A34"/>
          <w:sz w:val="22"/>
        </w:rPr>
        <w:t>Private students are assigned a consistent weekly lesson time.</w:t>
      </w:r>
    </w:p>
    <w:p>
      <w:pPr>
        <w:spacing w:before="0" w:after="80" w:line="300" w:lineRule="auto"/>
        <w:numPr>
          <w:ilvl w:val="0"/>
          <w:numId w:val="10"/>
        </w:numPr>
      </w:pPr>
      <w:r>
        <w:rPr>
          <w:rFonts w:ascii="Calibri" w:hAnsi="Calibri"/>
          <w:b w:val="0"/>
          <w:i w:val="0"/>
          <w:color w:val="102A34"/>
          <w:sz w:val="22"/>
        </w:rPr>
        <w:t>Enrollment is confirmed when the lesson time, rate, travel fee if applicable, and this policy have been accepted.</w:t>
      </w:r>
    </w:p>
    <w:p>
      <w:pPr>
        <w:spacing w:before="0" w:after="80" w:line="300" w:lineRule="auto"/>
        <w:numPr>
          <w:ilvl w:val="0"/>
          <w:numId w:val="10"/>
        </w:numPr>
      </w:pPr>
      <w:r>
        <w:rPr>
          <w:rFonts w:ascii="Calibri" w:hAnsi="Calibri"/>
          <w:b w:val="0"/>
          <w:i w:val="0"/>
          <w:color w:val="102A34"/>
          <w:sz w:val="22"/>
        </w:rPr>
        <w:t>The teacher may recommend a 30- or 60-minute lesson based on age, level, attention, and goals.</w:t>
      </w:r>
    </w:p>
    <w:p>
      <w:pPr>
        <w:pStyle w:val="Heading1"/>
        <w:keepNext/>
      </w:pPr>
      <w:r>
        <w:t>2. Rates and payment</w:t>
      </w:r>
    </w:p>
    <w:tbl>
      <w:tblPr>
        <w:tblStyle w:val="TableGrid"/>
        <w:tblW w:type="dxa" w:w="9360"/>
        <w:jc w:val="left"/>
        <w:tblLayout w:type="fixed"/>
        <w:tblLook w:firstColumn="1" w:firstRow="1" w:lastColumn="0" w:lastRow="0" w:noHBand="0" w:noVBand="1" w:val="04A0"/>
        <w:tblInd w:w="120" w:type="dxa"/>
      </w:tblPr>
      <w:tblGrid>
        <w:gridCol w:w="2300"/>
        <w:gridCol w:w="1500"/>
        <w:gridCol w:w="1500"/>
        <w:gridCol w:w="4060"/>
      </w:tblGrid>
      <w:tr>
        <w:trPr>
          <w:tblHeader w:val="true"/>
        </w:trPr>
        <w:tc>
          <w:tcPr>
            <w:tcW w:type="dxa" w:w="2300"/>
            <w:shd w:fill="102A34"/>
            <w:tcMar>
              <w:top w:w="110" w:type="dxa"/>
              <w:start w:w="120" w:type="dxa"/>
              <w:bottom w:w="110" w:type="dxa"/>
              <w:end w:w="120" w:type="dxa"/>
            </w:tcMar>
            <w:vAlign w:val="center"/>
          </w:tcPr>
          <w:p>
            <w:pPr>
              <w:jc w:val="left"/>
            </w:pPr>
            <w:r>
              <w:rPr>
                <w:rFonts w:ascii="Calibri" w:hAnsi="Calibri"/>
                <w:b/>
                <w:i w:val="0"/>
                <w:color w:val="FFFFFF"/>
                <w:sz w:val="18"/>
              </w:rPr>
              <w:t>Lesson option</w:t>
            </w:r>
          </w:p>
        </w:tc>
        <w:tc>
          <w:tcPr>
            <w:tcW w:type="dxa" w:w="1500"/>
            <w:shd w:fill="102A34"/>
            <w:tcMar>
              <w:top w:w="110" w:type="dxa"/>
              <w:start w:w="120" w:type="dxa"/>
              <w:bottom w:w="110" w:type="dxa"/>
              <w:end w:w="120" w:type="dxa"/>
            </w:tcMar>
            <w:vAlign w:val="center"/>
          </w:tcPr>
          <w:p>
            <w:pPr>
              <w:jc w:val="center"/>
            </w:pPr>
            <w:r>
              <w:rPr>
                <w:rFonts w:ascii="Calibri" w:hAnsi="Calibri"/>
                <w:b/>
                <w:i w:val="0"/>
                <w:color w:val="FFFFFF"/>
                <w:sz w:val="18"/>
              </w:rPr>
              <w:t>30 minutes</w:t>
            </w:r>
          </w:p>
        </w:tc>
        <w:tc>
          <w:tcPr>
            <w:tcW w:type="dxa" w:w="1500"/>
            <w:shd w:fill="102A34"/>
            <w:tcMar>
              <w:top w:w="110" w:type="dxa"/>
              <w:start w:w="120" w:type="dxa"/>
              <w:bottom w:w="110" w:type="dxa"/>
              <w:end w:w="120" w:type="dxa"/>
            </w:tcMar>
            <w:vAlign w:val="center"/>
          </w:tcPr>
          <w:p>
            <w:pPr>
              <w:jc w:val="center"/>
            </w:pPr>
            <w:r>
              <w:rPr>
                <w:rFonts w:ascii="Calibri" w:hAnsi="Calibri"/>
                <w:b/>
                <w:i w:val="0"/>
                <w:color w:val="FFFFFF"/>
                <w:sz w:val="18"/>
              </w:rPr>
              <w:t>60 minutes</w:t>
            </w:r>
          </w:p>
        </w:tc>
        <w:tc>
          <w:tcPr>
            <w:tcW w:type="dxa" w:w="4060"/>
            <w:shd w:fill="102A34"/>
            <w:tcMar>
              <w:top w:w="110" w:type="dxa"/>
              <w:start w:w="120" w:type="dxa"/>
              <w:bottom w:w="110" w:type="dxa"/>
              <w:end w:w="120" w:type="dxa"/>
            </w:tcMar>
            <w:vAlign w:val="center"/>
          </w:tcPr>
          <w:p>
            <w:pPr>
              <w:jc w:val="left"/>
            </w:pPr>
            <w:r>
              <w:rPr>
                <w:rFonts w:ascii="Calibri" w:hAnsi="Calibri"/>
                <w:b/>
                <w:i w:val="0"/>
                <w:color w:val="FFFFFF"/>
                <w:sz w:val="18"/>
              </w:rPr>
              <w:t>Notes</w:t>
            </w:r>
          </w:p>
        </w:tc>
      </w:tr>
      <w:tr>
        <w:tc>
          <w:tcPr>
            <w:tcW w:type="dxa" w:w="2300"/>
            <w:tcMar>
              <w:top w:w="110" w:type="dxa"/>
              <w:start w:w="120" w:type="dxa"/>
              <w:bottom w:w="110" w:type="dxa"/>
              <w:end w:w="120" w:type="dxa"/>
            </w:tcMar>
            <w:vAlign w:val="center"/>
          </w:tcPr>
          <w:p>
            <w:pPr>
              <w:jc w:val="left"/>
            </w:pPr>
            <w:r>
              <w:rPr>
                <w:rFonts w:ascii="Calibri" w:hAnsi="Calibri"/>
                <w:b/>
                <w:i w:val="0"/>
                <w:color w:val="102A34"/>
                <w:sz w:val="19"/>
              </w:rPr>
              <w:t>Studio private</w:t>
            </w:r>
          </w:p>
        </w:tc>
        <w:tc>
          <w:tcPr>
            <w:tcW w:type="dxa" w:w="1500"/>
            <w:tcMar>
              <w:top w:w="110" w:type="dxa"/>
              <w:start w:w="120" w:type="dxa"/>
              <w:bottom w:w="110" w:type="dxa"/>
              <w:end w:w="120" w:type="dxa"/>
            </w:tcMar>
            <w:vAlign w:val="center"/>
          </w:tcPr>
          <w:p>
            <w:pPr>
              <w:jc w:val="center"/>
            </w:pPr>
            <w:r>
              <w:rPr>
                <w:rFonts w:ascii="Calibri" w:hAnsi="Calibri"/>
                <w:b w:val="0"/>
                <w:i w:val="0"/>
                <w:color w:val="102A34"/>
                <w:sz w:val="19"/>
              </w:rPr>
              <w:t>$55</w:t>
            </w:r>
          </w:p>
        </w:tc>
        <w:tc>
          <w:tcPr>
            <w:tcW w:type="dxa" w:w="1500"/>
            <w:tcMar>
              <w:top w:w="110" w:type="dxa"/>
              <w:start w:w="120" w:type="dxa"/>
              <w:bottom w:w="110" w:type="dxa"/>
              <w:end w:w="120" w:type="dxa"/>
            </w:tcMar>
            <w:vAlign w:val="center"/>
          </w:tcPr>
          <w:p>
            <w:pPr>
              <w:jc w:val="center"/>
            </w:pPr>
            <w:r>
              <w:rPr>
                <w:rFonts w:ascii="Calibri" w:hAnsi="Calibri"/>
                <w:b w:val="0"/>
                <w:i w:val="0"/>
                <w:color w:val="102A34"/>
                <w:sz w:val="19"/>
              </w:rPr>
              <w:t>$100</w:t>
            </w:r>
          </w:p>
        </w:tc>
        <w:tc>
          <w:tcPr>
            <w:tcW w:type="dxa" w:w="4060"/>
            <w:tcMar>
              <w:top w:w="110" w:type="dxa"/>
              <w:start w:w="120" w:type="dxa"/>
              <w:bottom w:w="110" w:type="dxa"/>
              <w:end w:w="120" w:type="dxa"/>
            </w:tcMar>
            <w:vAlign w:val="center"/>
          </w:tcPr>
          <w:p>
            <w:pPr>
              <w:jc w:val="left"/>
            </w:pPr>
            <w:r>
              <w:rPr>
                <w:rFonts w:ascii="Calibri" w:hAnsi="Calibri"/>
                <w:b w:val="0"/>
                <w:i w:val="0"/>
                <w:color w:val="102A34"/>
                <w:sz w:val="19"/>
              </w:rPr>
              <w:t>Lady Lake studio</w:t>
            </w:r>
          </w:p>
        </w:tc>
      </w:tr>
      <w:tr>
        <w:tc>
          <w:tcPr>
            <w:tcW w:type="dxa" w:w="2300"/>
            <w:tcMar>
              <w:top w:w="110" w:type="dxa"/>
              <w:start w:w="120" w:type="dxa"/>
              <w:bottom w:w="110" w:type="dxa"/>
              <w:end w:w="120" w:type="dxa"/>
            </w:tcMar>
            <w:vAlign w:val="center"/>
          </w:tcPr>
          <w:p>
            <w:pPr>
              <w:jc w:val="left"/>
            </w:pPr>
            <w:r>
              <w:rPr>
                <w:rFonts w:ascii="Calibri" w:hAnsi="Calibri"/>
                <w:b/>
                <w:i w:val="0"/>
                <w:color w:val="102A34"/>
                <w:sz w:val="19"/>
              </w:rPr>
              <w:t>In-home private</w:t>
            </w:r>
          </w:p>
        </w:tc>
        <w:tc>
          <w:tcPr>
            <w:tcW w:type="dxa" w:w="1500"/>
            <w:tcMar>
              <w:top w:w="110" w:type="dxa"/>
              <w:start w:w="120" w:type="dxa"/>
              <w:bottom w:w="110" w:type="dxa"/>
              <w:end w:w="120" w:type="dxa"/>
            </w:tcMar>
            <w:vAlign w:val="center"/>
          </w:tcPr>
          <w:p>
            <w:pPr>
              <w:jc w:val="center"/>
            </w:pPr>
            <w:r>
              <w:rPr>
                <w:rFonts w:ascii="Calibri" w:hAnsi="Calibri"/>
                <w:b w:val="0"/>
                <w:i w:val="0"/>
                <w:color w:val="102A34"/>
                <w:sz w:val="19"/>
              </w:rPr>
              <w:t>$70</w:t>
            </w:r>
          </w:p>
        </w:tc>
        <w:tc>
          <w:tcPr>
            <w:tcW w:type="dxa" w:w="1500"/>
            <w:tcMar>
              <w:top w:w="110" w:type="dxa"/>
              <w:start w:w="120" w:type="dxa"/>
              <w:bottom w:w="110" w:type="dxa"/>
              <w:end w:w="120" w:type="dxa"/>
            </w:tcMar>
            <w:vAlign w:val="center"/>
          </w:tcPr>
          <w:p>
            <w:pPr>
              <w:jc w:val="center"/>
            </w:pPr>
            <w:r>
              <w:rPr>
                <w:rFonts w:ascii="Calibri" w:hAnsi="Calibri"/>
                <w:b w:val="0"/>
                <w:i w:val="0"/>
                <w:color w:val="102A34"/>
                <w:sz w:val="19"/>
              </w:rPr>
              <w:t>$115</w:t>
            </w:r>
          </w:p>
        </w:tc>
        <w:tc>
          <w:tcPr>
            <w:tcW w:type="dxa" w:w="4060"/>
            <w:tcMar>
              <w:top w:w="110" w:type="dxa"/>
              <w:start w:w="120" w:type="dxa"/>
              <w:bottom w:w="110" w:type="dxa"/>
              <w:end w:w="120" w:type="dxa"/>
            </w:tcMar>
            <w:vAlign w:val="center"/>
          </w:tcPr>
          <w:p>
            <w:pPr>
              <w:jc w:val="left"/>
            </w:pPr>
            <w:r>
              <w:rPr>
                <w:rFonts w:ascii="Calibri" w:hAnsi="Calibri"/>
                <w:b w:val="0"/>
                <w:i w:val="0"/>
                <w:color w:val="102A34"/>
                <w:sz w:val="19"/>
              </w:rPr>
              <w:t>Plus quoted travel fee</w:t>
            </w:r>
          </w:p>
        </w:tc>
      </w:tr>
      <w:tr>
        <w:tc>
          <w:tcPr>
            <w:tcW w:type="dxa" w:w="2300"/>
            <w:tcMar>
              <w:top w:w="110" w:type="dxa"/>
              <w:start w:w="120" w:type="dxa"/>
              <w:bottom w:w="110" w:type="dxa"/>
              <w:end w:w="120" w:type="dxa"/>
            </w:tcMar>
            <w:vAlign w:val="center"/>
          </w:tcPr>
          <w:p>
            <w:pPr>
              <w:jc w:val="left"/>
            </w:pPr>
            <w:r>
              <w:rPr>
                <w:rFonts w:ascii="Calibri" w:hAnsi="Calibri"/>
                <w:b/>
                <w:i w:val="0"/>
                <w:color w:val="102A34"/>
                <w:sz w:val="19"/>
              </w:rPr>
              <w:t>Group class</w:t>
            </w:r>
          </w:p>
        </w:tc>
        <w:tc>
          <w:tcPr>
            <w:tcW w:type="dxa" w:w="1500"/>
            <w:tcMar>
              <w:top w:w="110" w:type="dxa"/>
              <w:start w:w="120" w:type="dxa"/>
              <w:bottom w:w="110" w:type="dxa"/>
              <w:end w:w="120" w:type="dxa"/>
            </w:tcMar>
            <w:vAlign w:val="center"/>
          </w:tcPr>
          <w:p>
            <w:pPr>
              <w:jc w:val="center"/>
            </w:pPr>
            <w:r>
              <w:rPr>
                <w:rFonts w:ascii="Calibri" w:hAnsi="Calibri"/>
                <w:b w:val="0"/>
                <w:i w:val="0"/>
                <w:color w:val="102A34"/>
                <w:sz w:val="19"/>
              </w:rPr>
              <w:t>—</w:t>
            </w:r>
          </w:p>
        </w:tc>
        <w:tc>
          <w:tcPr>
            <w:tcW w:type="dxa" w:w="1500"/>
            <w:tcMar>
              <w:top w:w="110" w:type="dxa"/>
              <w:start w:w="120" w:type="dxa"/>
              <w:bottom w:w="110" w:type="dxa"/>
              <w:end w:w="120" w:type="dxa"/>
            </w:tcMar>
            <w:vAlign w:val="center"/>
          </w:tcPr>
          <w:p>
            <w:pPr>
              <w:jc w:val="center"/>
            </w:pPr>
            <w:r>
              <w:rPr>
                <w:rFonts w:ascii="Calibri" w:hAnsi="Calibri"/>
                <w:b w:val="0"/>
                <w:i w:val="0"/>
                <w:color w:val="102A34"/>
                <w:sz w:val="19"/>
              </w:rPr>
              <w:t>$30 per student</w:t>
            </w:r>
          </w:p>
        </w:tc>
        <w:tc>
          <w:tcPr>
            <w:tcW w:type="dxa" w:w="4060"/>
            <w:tcMar>
              <w:top w:w="110" w:type="dxa"/>
              <w:start w:w="120" w:type="dxa"/>
              <w:bottom w:w="110" w:type="dxa"/>
              <w:end w:w="120" w:type="dxa"/>
            </w:tcMar>
            <w:vAlign w:val="center"/>
          </w:tcPr>
          <w:p>
            <w:pPr>
              <w:jc w:val="left"/>
            </w:pPr>
            <w:r>
              <w:rPr>
                <w:rFonts w:ascii="Calibri" w:hAnsi="Calibri"/>
                <w:b w:val="0"/>
                <w:i w:val="0"/>
                <w:color w:val="102A34"/>
                <w:sz w:val="19"/>
              </w:rPr>
              <w:t>4–5 students; 60 min.</w:t>
            </w:r>
          </w:p>
        </w:tc>
      </w:tr>
      <w:tr>
        <w:tc>
          <w:tcPr>
            <w:tcW w:type="dxa" w:w="2300"/>
            <w:tcMar>
              <w:top w:w="110" w:type="dxa"/>
              <w:start w:w="120" w:type="dxa"/>
              <w:bottom w:w="110" w:type="dxa"/>
              <w:end w:w="120" w:type="dxa"/>
            </w:tcMar>
            <w:vAlign w:val="center"/>
          </w:tcPr>
          <w:p>
            <w:pPr>
              <w:jc w:val="left"/>
            </w:pPr>
            <w:r>
              <w:rPr>
                <w:rFonts w:ascii="Calibri" w:hAnsi="Calibri"/>
                <w:b/>
                <w:i w:val="0"/>
                <w:color w:val="102A34"/>
                <w:sz w:val="19"/>
              </w:rPr>
              <w:t>Music theory focus</w:t>
            </w:r>
          </w:p>
        </w:tc>
        <w:tc>
          <w:tcPr>
            <w:tcW w:type="dxa" w:w="1500"/>
            <w:tcMar>
              <w:top w:w="110" w:type="dxa"/>
              <w:start w:w="120" w:type="dxa"/>
              <w:bottom w:w="110" w:type="dxa"/>
              <w:end w:w="120" w:type="dxa"/>
            </w:tcMar>
            <w:vAlign w:val="center"/>
          </w:tcPr>
          <w:p>
            <w:pPr>
              <w:jc w:val="center"/>
            </w:pPr>
            <w:r>
              <w:rPr>
                <w:rFonts w:ascii="Calibri" w:hAnsi="Calibri"/>
                <w:b w:val="0"/>
                <w:i w:val="0"/>
                <w:color w:val="102A34"/>
                <w:sz w:val="19"/>
              </w:rPr>
              <w:t>—</w:t>
            </w:r>
          </w:p>
        </w:tc>
        <w:tc>
          <w:tcPr>
            <w:tcW w:type="dxa" w:w="1500"/>
            <w:tcMar>
              <w:top w:w="110" w:type="dxa"/>
              <w:start w:w="120" w:type="dxa"/>
              <w:bottom w:w="110" w:type="dxa"/>
              <w:end w:w="120" w:type="dxa"/>
            </w:tcMar>
            <w:vAlign w:val="center"/>
          </w:tcPr>
          <w:p>
            <w:pPr>
              <w:jc w:val="center"/>
            </w:pPr>
            <w:r>
              <w:rPr>
                <w:rFonts w:ascii="Calibri" w:hAnsi="Calibri"/>
                <w:b w:val="0"/>
                <w:i w:val="0"/>
                <w:color w:val="102A34"/>
                <w:sz w:val="19"/>
              </w:rPr>
              <w:t>$30 per student</w:t>
            </w:r>
          </w:p>
        </w:tc>
        <w:tc>
          <w:tcPr>
            <w:tcW w:type="dxa" w:w="4060"/>
            <w:tcMar>
              <w:top w:w="110" w:type="dxa"/>
              <w:start w:w="120" w:type="dxa"/>
              <w:bottom w:w="110" w:type="dxa"/>
              <w:end w:w="120" w:type="dxa"/>
            </w:tcMar>
            <w:vAlign w:val="center"/>
          </w:tcPr>
          <w:p>
            <w:pPr>
              <w:jc w:val="left"/>
            </w:pPr>
            <w:r>
              <w:rPr>
                <w:rFonts w:ascii="Calibri" w:hAnsi="Calibri"/>
                <w:b w:val="0"/>
                <w:i w:val="0"/>
                <w:color w:val="102A34"/>
                <w:sz w:val="19"/>
              </w:rPr>
              <w:t>Up to 8 students; 60 min.</w:t>
            </w:r>
          </w:p>
        </w:tc>
      </w:tr>
    </w:tbl>
    <w:p>
      <w:pPr>
        <w:spacing w:before="0" w:after="80" w:line="300" w:lineRule="auto"/>
        <w:numPr>
          <w:ilvl w:val="0"/>
          <w:numId w:val="10"/>
        </w:numPr>
      </w:pPr>
      <w:r>
        <w:rPr>
          <w:rFonts w:ascii="Calibri" w:hAnsi="Calibri"/>
          <w:b w:val="0"/>
          <w:i w:val="0"/>
          <w:color w:val="102A34"/>
          <w:sz w:val="22"/>
        </w:rPr>
        <w:t>Private-lesson fees are payable monthly in advance and are due by the first scheduled lesson of each month.</w:t>
      </w:r>
    </w:p>
    <w:p>
      <w:pPr>
        <w:spacing w:before="0" w:after="80" w:line="300" w:lineRule="auto"/>
        <w:numPr>
          <w:ilvl w:val="0"/>
          <w:numId w:val="10"/>
        </w:numPr>
      </w:pPr>
      <w:r>
        <w:rPr>
          <w:rFonts w:ascii="Calibri" w:hAnsi="Calibri"/>
          <w:b w:val="0"/>
          <w:i w:val="0"/>
          <w:color w:val="102A34"/>
          <w:sz w:val="22"/>
        </w:rPr>
        <w:t>Cash, check, and Venmo are accepted. A $20 late fee may be added when payment is more than seven days past due.</w:t>
      </w:r>
    </w:p>
    <w:p>
      <w:pPr>
        <w:spacing w:before="0" w:after="80" w:line="300" w:lineRule="auto"/>
        <w:numPr>
          <w:ilvl w:val="0"/>
          <w:numId w:val="10"/>
        </w:numPr>
      </w:pPr>
      <w:r>
        <w:rPr>
          <w:rFonts w:ascii="Calibri" w:hAnsi="Calibri"/>
          <w:b w:val="0"/>
          <w:i w:val="0"/>
          <w:color w:val="102A34"/>
          <w:sz w:val="22"/>
        </w:rPr>
        <w:t>In-home travel fees are quoted according to distance and are agreed upon before a weekly time is reserved. A location change may require a revised quote.</w:t>
      </w:r>
    </w:p>
    <w:p>
      <w:pPr>
        <w:spacing w:before="0" w:after="80" w:line="300" w:lineRule="auto"/>
        <w:numPr>
          <w:ilvl w:val="0"/>
          <w:numId w:val="10"/>
        </w:numPr>
      </w:pPr>
      <w:r>
        <w:rPr>
          <w:rFonts w:ascii="Calibri" w:hAnsi="Calibri"/>
          <w:b w:val="0"/>
          <w:i w:val="0"/>
          <w:color w:val="102A34"/>
          <w:sz w:val="22"/>
        </w:rPr>
        <w:t>Books, sheet music, examination fees, event fees, and other materials are separate and will be discussed before purchase.</w:t>
      </w:r>
    </w:p>
    <w:p>
      <w:pPr>
        <w:spacing w:before="0" w:after="80" w:line="300" w:lineRule="auto"/>
        <w:numPr>
          <w:ilvl w:val="0"/>
          <w:numId w:val="10"/>
        </w:numPr>
      </w:pPr>
      <w:r>
        <w:rPr>
          <w:rFonts w:ascii="Calibri" w:hAnsi="Calibri"/>
          <w:b w:val="0"/>
          <w:i w:val="0"/>
          <w:color w:val="102A34"/>
          <w:sz w:val="22"/>
        </w:rPr>
        <w:t>Group-class payment is due before the class or course begins. A group class may be rescheduled or canceled if minimum enrollment is not met.</w:t>
      </w:r>
    </w:p>
    <w:p>
      <w:pPr>
        <w:pStyle w:val="Heading1"/>
        <w:keepNext/>
      </w:pPr>
      <w:r>
        <w:t>3. Attendance, cancellations, and makeups</w:t>
      </w:r>
    </w:p>
    <w:p>
      <w:r>
        <w:rPr>
          <w:rFonts w:ascii="Calibri" w:hAnsi="Calibri"/>
          <w:b w:val="0"/>
          <w:i w:val="0"/>
          <w:color w:val="102A34"/>
          <w:sz w:val="22"/>
        </w:rPr>
        <w:t>A reserved lesson time cannot ordinarily be filled on short notice. The following terms apply consistently to protect each student's place in the schedule:</w:t>
      </w:r>
    </w:p>
    <w:p>
      <w:pPr>
        <w:spacing w:before="0" w:after="80" w:line="300" w:lineRule="auto"/>
        <w:numPr>
          <w:ilvl w:val="0"/>
          <w:numId w:val="10"/>
        </w:numPr>
      </w:pPr>
      <w:r>
        <w:rPr>
          <w:rFonts w:ascii="Calibri" w:hAnsi="Calibri"/>
          <w:b w:val="0"/>
          <w:i w:val="0"/>
          <w:color w:val="102A34"/>
          <w:sz w:val="22"/>
        </w:rPr>
        <w:t>Student cancellation with at least 24 hours' notice: one makeup lesson per student per month may be offered, subject to availability. A makeup must be completed within 30 days and is not guaranteed.</w:t>
      </w:r>
    </w:p>
    <w:p>
      <w:pPr>
        <w:spacing w:before="0" w:after="80" w:line="300" w:lineRule="auto"/>
        <w:numPr>
          <w:ilvl w:val="0"/>
          <w:numId w:val="10"/>
        </w:numPr>
      </w:pPr>
      <w:r>
        <w:rPr>
          <w:rFonts w:ascii="Calibri" w:hAnsi="Calibri"/>
          <w:b w:val="0"/>
          <w:i w:val="0"/>
          <w:color w:val="102A34"/>
          <w:sz w:val="22"/>
        </w:rPr>
        <w:t>Cancellation with less than 24 hours' notice or a no-show: the lesson is charged in full and no makeup or credit is due.</w:t>
      </w:r>
    </w:p>
    <w:p>
      <w:pPr>
        <w:spacing w:before="0" w:after="80" w:line="300" w:lineRule="auto"/>
        <w:numPr>
          <w:ilvl w:val="0"/>
          <w:numId w:val="10"/>
        </w:numPr>
      </w:pPr>
      <w:r>
        <w:rPr>
          <w:rFonts w:ascii="Calibri" w:hAnsi="Calibri"/>
          <w:b w:val="0"/>
          <w:i w:val="0"/>
          <w:color w:val="102A34"/>
          <w:sz w:val="22"/>
        </w:rPr>
        <w:t>Late arrival: the lesson still ends at the reserved time. The full lesson fee applies.</w:t>
      </w:r>
    </w:p>
    <w:p>
      <w:pPr>
        <w:spacing w:before="0" w:after="80" w:line="300" w:lineRule="auto"/>
        <w:numPr>
          <w:ilvl w:val="0"/>
          <w:numId w:val="10"/>
        </w:numPr>
      </w:pPr>
      <w:r>
        <w:rPr>
          <w:rFonts w:ascii="Calibri" w:hAnsi="Calibri"/>
          <w:b w:val="0"/>
          <w:i w:val="0"/>
          <w:color w:val="102A34"/>
          <w:sz w:val="22"/>
        </w:rPr>
        <w:t>Teacher cancellation: the lesson will be rescheduled or credited in full.</w:t>
      </w:r>
    </w:p>
    <w:p>
      <w:pPr>
        <w:spacing w:before="0" w:after="80" w:line="300" w:lineRule="auto"/>
        <w:numPr>
          <w:ilvl w:val="0"/>
          <w:numId w:val="10"/>
        </w:numPr>
      </w:pPr>
      <w:r>
        <w:rPr>
          <w:rFonts w:ascii="Calibri" w:hAnsi="Calibri"/>
          <w:b w:val="0"/>
          <w:i w:val="0"/>
          <w:color w:val="102A34"/>
          <w:sz w:val="22"/>
        </w:rPr>
        <w:t>Illness and emergencies: please provide notice as early as possible. Exceptions beyond the standard makeup allowance may be considered for serious or extended circumstances at the teacher's discretion.</w:t>
      </w:r>
    </w:p>
    <w:p>
      <w:pPr>
        <w:spacing w:before="0" w:after="80" w:line="300" w:lineRule="auto"/>
        <w:numPr>
          <w:ilvl w:val="0"/>
          <w:numId w:val="10"/>
        </w:numPr>
      </w:pPr>
      <w:r>
        <w:rPr>
          <w:rFonts w:ascii="Calibri" w:hAnsi="Calibri"/>
          <w:b w:val="0"/>
          <w:i w:val="0"/>
          <w:color w:val="102A34"/>
          <w:sz w:val="22"/>
        </w:rPr>
        <w:t>Severe weather or unsafe travel: the teacher may reschedule or credit an affected lesson. In-home travel will not occur when conditions are unsafe.</w:t>
      </w:r>
    </w:p>
    <w:p>
      <w:pPr>
        <w:spacing w:before="0" w:after="80" w:line="300" w:lineRule="auto"/>
        <w:numPr>
          <w:ilvl w:val="0"/>
          <w:numId w:val="10"/>
        </w:numPr>
      </w:pPr>
      <w:r>
        <w:rPr>
          <w:rFonts w:ascii="Calibri" w:hAnsi="Calibri"/>
          <w:b w:val="0"/>
          <w:i w:val="0"/>
          <w:color w:val="102A34"/>
          <w:sz w:val="22"/>
        </w:rPr>
        <w:t>Group classes: an individual absence does not create a private makeup lesson or refund.</w:t>
      </w:r>
    </w:p>
    <w:p>
      <w:pPr>
        <w:pStyle w:val="Heading1"/>
        <w:keepNext/>
      </w:pPr>
      <w:r>
        <w:t>4. Practice, materials, and the home instrument</w:t>
      </w:r>
    </w:p>
    <w:p>
      <w:r>
        <w:rPr>
          <w:rFonts w:ascii="Calibri" w:hAnsi="Calibri"/>
          <w:b w:val="0"/>
          <w:i w:val="0"/>
          <w:color w:val="102A34"/>
          <w:sz w:val="22"/>
        </w:rPr>
        <w:t>Regular, focused practice between lessons is essential. Assignments will be based on the student's age, level, schedule, and goals rather than on time alone.</w:t>
      </w:r>
    </w:p>
    <w:p>
      <w:pPr>
        <w:spacing w:before="0" w:after="80" w:line="300" w:lineRule="auto"/>
        <w:numPr>
          <w:ilvl w:val="0"/>
          <w:numId w:val="10"/>
        </w:numPr>
      </w:pPr>
      <w:r>
        <w:rPr>
          <w:rFonts w:ascii="Calibri" w:hAnsi="Calibri"/>
          <w:b w:val="0"/>
          <w:i w:val="0"/>
          <w:color w:val="102A34"/>
          <w:sz w:val="22"/>
        </w:rPr>
        <w:t>Students should bring assigned books, music, and practice notes to every lesson.</w:t>
      </w:r>
    </w:p>
    <w:p>
      <w:pPr>
        <w:spacing w:before="0" w:after="80" w:line="300" w:lineRule="auto"/>
        <w:numPr>
          <w:ilvl w:val="0"/>
          <w:numId w:val="10"/>
        </w:numPr>
      </w:pPr>
      <w:r>
        <w:rPr>
          <w:rFonts w:ascii="Calibri" w:hAnsi="Calibri"/>
          <w:b w:val="0"/>
          <w:i w:val="0"/>
          <w:color w:val="102A34"/>
          <w:sz w:val="22"/>
        </w:rPr>
        <w:t>Students need dependable access to a well-maintained acoustic piano or a full-size digital piano with weighted keys, an appropriate bench, and a working pedal.</w:t>
      </w:r>
    </w:p>
    <w:p>
      <w:pPr>
        <w:spacing w:before="0" w:after="80" w:line="300" w:lineRule="auto"/>
        <w:numPr>
          <w:ilvl w:val="0"/>
          <w:numId w:val="10"/>
        </w:numPr>
      </w:pPr>
      <w:r>
        <w:rPr>
          <w:rFonts w:ascii="Calibri" w:hAnsi="Calibri"/>
          <w:b w:val="0"/>
          <w:i w:val="0"/>
          <w:color w:val="102A34"/>
          <w:sz w:val="22"/>
        </w:rPr>
        <w:t>Parents or guardians of younger students are encouraged to help establish a consistent practice routine and communicate questions promptly.</w:t>
      </w:r>
    </w:p>
    <w:p>
      <w:pPr>
        <w:spacing w:before="0" w:after="80" w:line="300" w:lineRule="auto"/>
        <w:numPr>
          <w:ilvl w:val="0"/>
          <w:numId w:val="10"/>
        </w:numPr>
      </w:pPr>
      <w:r>
        <w:rPr>
          <w:rFonts w:ascii="Calibri" w:hAnsi="Calibri"/>
          <w:b w:val="0"/>
          <w:i w:val="0"/>
          <w:color w:val="102A34"/>
          <w:sz w:val="22"/>
        </w:rPr>
        <w:t>Materials selected for study should be obtained promptly so progress is not interrupted.</w:t>
      </w:r>
    </w:p>
    <w:p>
      <w:pPr>
        <w:pStyle w:val="Heading1"/>
        <w:keepNext/>
      </w:pPr>
      <w:r>
        <w:t>5. Studio and in-home expectations</w:t>
      </w:r>
    </w:p>
    <w:p>
      <w:pPr>
        <w:spacing w:before="0" w:after="80" w:line="300" w:lineRule="auto"/>
        <w:numPr>
          <w:ilvl w:val="0"/>
          <w:numId w:val="10"/>
        </w:numPr>
      </w:pPr>
      <w:r>
        <w:rPr>
          <w:rFonts w:ascii="Calibri" w:hAnsi="Calibri"/>
          <w:b w:val="0"/>
          <w:i w:val="0"/>
          <w:color w:val="102A34"/>
          <w:sz w:val="22"/>
        </w:rPr>
        <w:t>Students should arrive ready to learn, with clean hands and trimmed nails appropriate for piano technique.</w:t>
      </w:r>
    </w:p>
    <w:p>
      <w:pPr>
        <w:spacing w:before="0" w:after="80" w:line="300" w:lineRule="auto"/>
        <w:numPr>
          <w:ilvl w:val="0"/>
          <w:numId w:val="10"/>
        </w:numPr>
      </w:pPr>
      <w:r>
        <w:rPr>
          <w:rFonts w:ascii="Calibri" w:hAnsi="Calibri"/>
          <w:b w:val="0"/>
          <w:i w:val="0"/>
          <w:color w:val="102A34"/>
          <w:sz w:val="22"/>
        </w:rPr>
        <w:t>Food, gum, and drinks other than closed water containers must remain away from the piano.</w:t>
      </w:r>
    </w:p>
    <w:p>
      <w:pPr>
        <w:spacing w:before="0" w:after="80" w:line="300" w:lineRule="auto"/>
        <w:numPr>
          <w:ilvl w:val="0"/>
          <w:numId w:val="10"/>
        </w:numPr>
      </w:pPr>
      <w:r>
        <w:rPr>
          <w:rFonts w:ascii="Calibri" w:hAnsi="Calibri"/>
          <w:b w:val="0"/>
          <w:i w:val="0"/>
          <w:color w:val="102A34"/>
          <w:sz w:val="22"/>
        </w:rPr>
        <w:t>Parents and guardians are responsible for timely arrival and pickup and for supervising siblings or guests.</w:t>
      </w:r>
    </w:p>
    <w:p>
      <w:pPr>
        <w:spacing w:before="0" w:after="80" w:line="300" w:lineRule="auto"/>
        <w:numPr>
          <w:ilvl w:val="0"/>
          <w:numId w:val="10"/>
        </w:numPr>
      </w:pPr>
      <w:r>
        <w:rPr>
          <w:rFonts w:ascii="Calibri" w:hAnsi="Calibri"/>
          <w:b w:val="0"/>
          <w:i w:val="0"/>
          <w:color w:val="102A34"/>
          <w:sz w:val="22"/>
        </w:rPr>
        <w:t>For in-home lessons, the instrument and teaching area should be ready, reasonably quiet, well lit, and free from avoidable interruptions.</w:t>
      </w:r>
    </w:p>
    <w:p>
      <w:pPr>
        <w:spacing w:before="0" w:after="80" w:line="300" w:lineRule="auto"/>
        <w:numPr>
          <w:ilvl w:val="0"/>
          <w:numId w:val="10"/>
        </w:numPr>
      </w:pPr>
      <w:r>
        <w:rPr>
          <w:rFonts w:ascii="Calibri" w:hAnsi="Calibri"/>
          <w:b w:val="0"/>
          <w:i w:val="0"/>
          <w:color w:val="102A34"/>
          <w:sz w:val="22"/>
        </w:rPr>
        <w:t>Respectful conduct is required. Ongoing disruptive, unsafe, or inappropriate behavior may result in termination of lessons.</w:t>
      </w:r>
    </w:p>
    <w:p>
      <w:pPr>
        <w:pStyle w:val="Heading1"/>
        <w:keepNext/>
      </w:pPr>
      <w:r>
        <w:t>6. Communication, privacy, and performances</w:t>
      </w:r>
    </w:p>
    <w:p>
      <w:pPr>
        <w:spacing w:before="0" w:after="80" w:line="300" w:lineRule="auto"/>
        <w:numPr>
          <w:ilvl w:val="0"/>
          <w:numId w:val="10"/>
        </w:numPr>
      </w:pPr>
      <w:r>
        <w:rPr>
          <w:rFonts w:ascii="Calibri" w:hAnsi="Calibri"/>
          <w:b w:val="0"/>
          <w:i w:val="0"/>
          <w:color w:val="102A34"/>
          <w:sz w:val="22"/>
        </w:rPr>
        <w:t>Email and text may be used for scheduling and studio communication. Non-urgent messages will be answered as soon as practical outside teaching hours.</w:t>
      </w:r>
    </w:p>
    <w:p>
      <w:pPr>
        <w:spacing w:before="0" w:after="80" w:line="300" w:lineRule="auto"/>
        <w:numPr>
          <w:ilvl w:val="0"/>
          <w:numId w:val="10"/>
        </w:numPr>
      </w:pPr>
      <w:r>
        <w:rPr>
          <w:rFonts w:ascii="Calibri" w:hAnsi="Calibri"/>
          <w:b w:val="0"/>
          <w:i w:val="0"/>
          <w:color w:val="102A34"/>
          <w:sz w:val="22"/>
        </w:rPr>
        <w:t>Student photographs, recordings, names, or performances will not be used publicly without prior permission from the adult student or a parent or guardian.</w:t>
      </w:r>
    </w:p>
    <w:p>
      <w:pPr>
        <w:spacing w:before="0" w:after="80" w:line="300" w:lineRule="auto"/>
        <w:numPr>
          <w:ilvl w:val="0"/>
          <w:numId w:val="10"/>
        </w:numPr>
      </w:pPr>
      <w:r>
        <w:rPr>
          <w:rFonts w:ascii="Calibri" w:hAnsi="Calibri"/>
          <w:b w:val="0"/>
          <w:i w:val="0"/>
          <w:color w:val="102A34"/>
          <w:sz w:val="22"/>
        </w:rPr>
        <w:t>Recitals, examinations, group events, and other performance opportunities may be offered separately. Participation expectations and any fees will be communicated in advance.</w:t>
      </w:r>
    </w:p>
    <w:p>
      <w:pPr>
        <w:pStyle w:val="Heading1"/>
        <w:keepNext/>
      </w:pPr>
      <w:r>
        <w:t>7. Withdrawal and termination</w:t>
      </w:r>
    </w:p>
    <w:p>
      <w:pPr>
        <w:spacing w:before="0" w:after="80" w:line="300" w:lineRule="auto"/>
        <w:numPr>
          <w:ilvl w:val="0"/>
          <w:numId w:val="10"/>
        </w:numPr>
      </w:pPr>
      <w:r>
        <w:rPr>
          <w:rFonts w:ascii="Calibri" w:hAnsi="Calibri"/>
          <w:b w:val="0"/>
          <w:i w:val="0"/>
          <w:color w:val="102A34"/>
          <w:sz w:val="22"/>
        </w:rPr>
        <w:t>Thirty days' written notice is required to discontinue private lessons. Fees remain due through the notice period whether or not every reserved lesson is attended.</w:t>
      </w:r>
    </w:p>
    <w:p>
      <w:pPr>
        <w:spacing w:before="0" w:after="80" w:line="300" w:lineRule="auto"/>
        <w:numPr>
          <w:ilvl w:val="0"/>
          <w:numId w:val="10"/>
        </w:numPr>
      </w:pPr>
      <w:r>
        <w:rPr>
          <w:rFonts w:ascii="Calibri" w:hAnsi="Calibri"/>
          <w:b w:val="0"/>
          <w:i w:val="0"/>
          <w:color w:val="102A34"/>
          <w:sz w:val="22"/>
        </w:rPr>
        <w:t>The teacher may discontinue instruction for repeated nonpayment, poor attendance, persistent lack of cooperation, unsafe behavior, or another circumstance that makes productive study impractical.</w:t>
      </w:r>
    </w:p>
    <w:p>
      <w:pPr>
        <w:spacing w:before="0" w:after="80" w:line="300" w:lineRule="auto"/>
        <w:numPr>
          <w:ilvl w:val="0"/>
          <w:numId w:val="10"/>
        </w:numPr>
      </w:pPr>
      <w:r>
        <w:rPr>
          <w:rFonts w:ascii="Calibri" w:hAnsi="Calibri"/>
          <w:b w:val="0"/>
          <w:i w:val="0"/>
          <w:color w:val="102A34"/>
          <w:sz w:val="22"/>
        </w:rPr>
        <w:t>Rates and policies may be updated with at least 30 days' notice. Previously quoted travel fees may also change if the lesson location changes.</w:t>
      </w:r>
    </w:p>
    <w:p>
      <w:pPr>
        <w:pStyle w:val="Heading1"/>
        <w:keepNext/>
        <w:pageBreakBefore/>
      </w:pPr>
      <w:r>
        <w:t>Policy acknowledgment</w:t>
      </w:r>
    </w:p>
    <w:p>
      <w:pPr>
        <w:spacing w:after="240"/>
      </w:pPr>
      <w:r>
        <w:rPr>
          <w:rFonts w:ascii="Calibri" w:hAnsi="Calibri"/>
          <w:b w:val="0"/>
          <w:i w:val="0"/>
          <w:color w:val="102A34"/>
          <w:sz w:val="22"/>
        </w:rPr>
        <w:t>By enrolling and submitting payment, the student or responsible adult confirms that they have read and accepted this studio policy. The signatures below may also be used for a printed acknowledgment.</w:t>
      </w:r>
    </w:p>
    <w:tbl>
      <w:tblPr>
        <w:tblStyle w:val="TableGrid"/>
        <w:tblW w:type="dxa" w:w="9360"/>
        <w:jc w:val="left"/>
        <w:tblLayout w:type="fixed"/>
        <w:tblLook w:firstColumn="1" w:firstRow="1" w:lastColumn="0" w:lastRow="0" w:noHBand="0" w:noVBand="1" w:val="04A0"/>
        <w:tblInd w:w="120" w:type="dxa"/>
      </w:tblPr>
      <w:tblGrid>
        <w:gridCol w:w="2200"/>
        <w:gridCol w:w="7160"/>
      </w:tblGrid>
      <w:tr>
        <w:tc>
          <w:tcPr>
            <w:tcW w:type="dxa" w:w="2200"/>
            <w:shd w:fill="E8EEF5"/>
            <w:tcMar>
              <w:top w:w="110" w:type="dxa"/>
              <w:start w:w="120" w:type="dxa"/>
              <w:bottom w:w="110" w:type="dxa"/>
              <w:end w:w="120" w:type="dxa"/>
            </w:tcMar>
            <w:vAlign w:val="center"/>
          </w:tcPr>
          <w:p>
            <w:pPr>
              <w:spacing w:before="0" w:after="0"/>
            </w:pPr>
            <w:r>
              <w:rPr>
                <w:rFonts w:ascii="Calibri" w:hAnsi="Calibri"/>
                <w:b/>
                <w:i w:val="0"/>
                <w:color w:val="102A34"/>
                <w:sz w:val="19"/>
              </w:rPr>
              <w:t>Reserved time</w:t>
            </w:r>
          </w:p>
        </w:tc>
        <w:tc>
          <w:tcPr>
            <w:tcW w:type="dxa" w:w="7160"/>
            <w:tcMar>
              <w:top w:w="110" w:type="dxa"/>
              <w:start w:w="120" w:type="dxa"/>
              <w:bottom w:w="110" w:type="dxa"/>
              <w:end w:w="120" w:type="dxa"/>
            </w:tcMar>
            <w:vAlign w:val="center"/>
          </w:tcPr>
          <w:p>
            <w:pPr>
              <w:spacing w:before="0" w:after="0"/>
            </w:pPr>
            <w:r>
              <w:rPr>
                <w:rFonts w:ascii="Calibri" w:hAnsi="Calibri"/>
                <w:b w:val="0"/>
                <w:i w:val="0"/>
                <w:color w:val="102A34"/>
                <w:sz w:val="19"/>
              </w:rPr>
              <w:t>Private tuition is paid monthly in advance for a consistent weekly time.</w:t>
            </w:r>
          </w:p>
        </w:tc>
      </w:tr>
      <w:tr>
        <w:tc>
          <w:tcPr>
            <w:tcW w:type="dxa" w:w="2200"/>
            <w:shd w:fill="E8EEF5"/>
            <w:tcMar>
              <w:top w:w="110" w:type="dxa"/>
              <w:start w:w="120" w:type="dxa"/>
              <w:bottom w:w="110" w:type="dxa"/>
              <w:end w:w="120" w:type="dxa"/>
            </w:tcMar>
            <w:vAlign w:val="center"/>
          </w:tcPr>
          <w:p>
            <w:pPr>
              <w:spacing w:before="0" w:after="0"/>
            </w:pPr>
            <w:r>
              <w:rPr>
                <w:rFonts w:ascii="Calibri" w:hAnsi="Calibri"/>
                <w:b/>
                <w:i w:val="0"/>
                <w:color w:val="102A34"/>
                <w:sz w:val="19"/>
              </w:rPr>
              <w:t>Missed lessons</w:t>
            </w:r>
          </w:p>
        </w:tc>
        <w:tc>
          <w:tcPr>
            <w:tcW w:type="dxa" w:w="7160"/>
            <w:tcMar>
              <w:top w:w="110" w:type="dxa"/>
              <w:start w:w="120" w:type="dxa"/>
              <w:bottom w:w="110" w:type="dxa"/>
              <w:end w:w="120" w:type="dxa"/>
            </w:tcMar>
            <w:vAlign w:val="center"/>
          </w:tcPr>
          <w:p>
            <w:pPr>
              <w:spacing w:before="0" w:after="0"/>
            </w:pPr>
            <w:r>
              <w:rPr>
                <w:rFonts w:ascii="Calibri" w:hAnsi="Calibri"/>
                <w:b w:val="0"/>
                <w:i w:val="0"/>
                <w:color w:val="102A34"/>
                <w:sz w:val="19"/>
              </w:rPr>
              <w:t>At least 24 hours' notice is required for makeup consideration.</w:t>
            </w:r>
          </w:p>
        </w:tc>
      </w:tr>
      <w:tr>
        <w:tc>
          <w:tcPr>
            <w:tcW w:type="dxa" w:w="2200"/>
            <w:shd w:fill="E8EEF5"/>
            <w:tcMar>
              <w:top w:w="110" w:type="dxa"/>
              <w:start w:w="120" w:type="dxa"/>
              <w:bottom w:w="110" w:type="dxa"/>
              <w:end w:w="120" w:type="dxa"/>
            </w:tcMar>
            <w:vAlign w:val="center"/>
          </w:tcPr>
          <w:p>
            <w:pPr>
              <w:spacing w:before="0" w:after="0"/>
            </w:pPr>
            <w:r>
              <w:rPr>
                <w:rFonts w:ascii="Calibri" w:hAnsi="Calibri"/>
                <w:b/>
                <w:i w:val="0"/>
                <w:color w:val="102A34"/>
                <w:sz w:val="19"/>
              </w:rPr>
              <w:t>Withdrawal</w:t>
            </w:r>
          </w:p>
        </w:tc>
        <w:tc>
          <w:tcPr>
            <w:tcW w:type="dxa" w:w="7160"/>
            <w:tcMar>
              <w:top w:w="110" w:type="dxa"/>
              <w:start w:w="120" w:type="dxa"/>
              <w:bottom w:w="110" w:type="dxa"/>
              <w:end w:w="120" w:type="dxa"/>
            </w:tcMar>
            <w:vAlign w:val="center"/>
          </w:tcPr>
          <w:p>
            <w:pPr>
              <w:spacing w:before="0" w:after="0"/>
            </w:pPr>
            <w:r>
              <w:rPr>
                <w:rFonts w:ascii="Calibri" w:hAnsi="Calibri"/>
                <w:b w:val="0"/>
                <w:i w:val="0"/>
                <w:color w:val="102A34"/>
                <w:sz w:val="19"/>
              </w:rPr>
              <w:t>Thirty days' written notice is required to discontinue private lessons.</w:t>
            </w:r>
          </w:p>
        </w:tc>
      </w:tr>
      <w:tr>
        <w:tc>
          <w:tcPr>
            <w:tcW w:type="dxa" w:w="2200"/>
            <w:shd w:fill="E8EEF5"/>
            <w:tcMar>
              <w:top w:w="110" w:type="dxa"/>
              <w:start w:w="120" w:type="dxa"/>
              <w:bottom w:w="110" w:type="dxa"/>
              <w:end w:w="120" w:type="dxa"/>
            </w:tcMar>
            <w:vAlign w:val="center"/>
          </w:tcPr>
          <w:p>
            <w:pPr>
              <w:spacing w:before="0" w:after="0"/>
            </w:pPr>
            <w:r>
              <w:rPr>
                <w:rFonts w:ascii="Calibri" w:hAnsi="Calibri"/>
                <w:b/>
                <w:i w:val="0"/>
                <w:color w:val="102A34"/>
                <w:sz w:val="19"/>
              </w:rPr>
              <w:t>In-home service</w:t>
            </w:r>
          </w:p>
        </w:tc>
        <w:tc>
          <w:tcPr>
            <w:tcW w:type="dxa" w:w="7160"/>
            <w:tcMar>
              <w:top w:w="110" w:type="dxa"/>
              <w:start w:w="120" w:type="dxa"/>
              <w:bottom w:w="110" w:type="dxa"/>
              <w:end w:w="120" w:type="dxa"/>
            </w:tcMar>
            <w:vAlign w:val="center"/>
          </w:tcPr>
          <w:p>
            <w:pPr>
              <w:spacing w:before="0" w:after="0"/>
            </w:pPr>
            <w:r>
              <w:rPr>
                <w:rFonts w:ascii="Calibri" w:hAnsi="Calibri"/>
                <w:b w:val="0"/>
                <w:i w:val="0"/>
                <w:color w:val="102A34"/>
                <w:sz w:val="19"/>
              </w:rPr>
              <w:t>Any travel fee is quoted and agreed upon before enrollment.</w:t>
            </w:r>
          </w:p>
        </w:tc>
      </w:tr>
    </w:tbl>
    <w:p>
      <w:pPr>
        <w:spacing w:before="360" w:after="200"/>
      </w:pPr>
      <w:r>
        <w:rPr>
          <w:rFonts w:ascii="Calibri" w:hAnsi="Calibri"/>
          <w:b/>
          <w:i w:val="0"/>
          <w:color w:val="C76542"/>
          <w:sz w:val="22"/>
        </w:rPr>
        <w:t>Acknowledgment signatures</w:t>
      </w:r>
    </w:p>
    <w:tbl>
      <w:tblPr>
        <w:tblW w:type="dxa" w:w="9360"/>
        <w:jc w:val="left"/>
        <w:tblLayout w:type="fixed"/>
        <w:tblLook w:firstColumn="1" w:firstRow="1" w:lastColumn="0" w:lastRow="0" w:noHBand="0" w:noVBand="1" w:val="04A0"/>
        <w:tblInd w:w="0" w:type="dxa"/>
      </w:tblPr>
      <w:tblGrid>
        <w:gridCol w:w="3300"/>
        <w:gridCol w:w="6060"/>
      </w:tblGrid>
      <w:tr>
        <w:tc>
          <w:tcPr>
            <w:tcW w:type="dxa" w:w="3300"/>
            <w:tcBorders>
              <w:top w:val="nil"/>
              <w:bottom w:val="nil"/>
              <w:left w:val="nil"/>
              <w:right w:val="nil"/>
            </w:tcBorders>
            <w:tcMar>
              <w:top w:w="110" w:type="dxa"/>
              <w:start w:w="120" w:type="dxa"/>
              <w:bottom w:w="110" w:type="dxa"/>
              <w:end w:w="120" w:type="dxa"/>
            </w:tcMar>
            <w:vAlign w:val="center"/>
          </w:tcPr>
          <w:p>
            <w:r>
              <w:rPr>
                <w:rFonts w:ascii="Calibri" w:hAnsi="Calibri"/>
                <w:b/>
                <w:i w:val="0"/>
                <w:color w:val="56676E"/>
                <w:sz w:val="18"/>
              </w:rPr>
              <w:t>Student name</w:t>
            </w:r>
          </w:p>
        </w:tc>
        <w:tc>
          <w:tcPr>
            <w:tcW w:type="dxa" w:w="6060"/>
            <w:tcBorders>
              <w:bottom w:val="single" w:sz="6" w:space="2" w:color="9AA9AF"/>
              <w:top w:val="nil"/>
              <w:left w:val="nil"/>
              <w:right w:val="nil"/>
            </w:tcBorders>
            <w:tcMar>
              <w:top w:w="110" w:type="dxa"/>
              <w:start w:w="120" w:type="dxa"/>
              <w:bottom w:w="110" w:type="dxa"/>
              <w:end w:w="120" w:type="dxa"/>
            </w:tcMar>
            <w:vAlign w:val="center"/>
          </w:tcPr>
          <w:p>
            <w:pPr>
              <w:spacing w:after="200"/>
            </w:pPr>
            <w:r>
              <w:t xml:space="preserve"> </w:t>
            </w:r>
          </w:p>
        </w:tc>
      </w:tr>
      <w:tr>
        <w:tc>
          <w:tcPr>
            <w:tcW w:type="dxa" w:w="3300"/>
            <w:tcBorders>
              <w:top w:val="nil"/>
              <w:bottom w:val="nil"/>
              <w:left w:val="nil"/>
              <w:right w:val="nil"/>
            </w:tcBorders>
            <w:tcMar>
              <w:top w:w="110" w:type="dxa"/>
              <w:start w:w="120" w:type="dxa"/>
              <w:bottom w:w="110" w:type="dxa"/>
              <w:end w:w="120" w:type="dxa"/>
            </w:tcMar>
            <w:vAlign w:val="center"/>
          </w:tcPr>
          <w:p>
            <w:r>
              <w:rPr>
                <w:rFonts w:ascii="Calibri" w:hAnsi="Calibri"/>
                <w:b/>
                <w:i w:val="0"/>
                <w:color w:val="56676E"/>
                <w:sz w:val="18"/>
              </w:rPr>
              <w:t>Parent/guardian (if applicable)</w:t>
            </w:r>
          </w:p>
        </w:tc>
        <w:tc>
          <w:tcPr>
            <w:tcW w:type="dxa" w:w="6060"/>
            <w:tcBorders>
              <w:bottom w:val="single" w:sz="6" w:space="2" w:color="9AA9AF"/>
              <w:top w:val="nil"/>
              <w:left w:val="nil"/>
              <w:right w:val="nil"/>
            </w:tcBorders>
            <w:tcMar>
              <w:top w:w="110" w:type="dxa"/>
              <w:start w:w="120" w:type="dxa"/>
              <w:bottom w:w="110" w:type="dxa"/>
              <w:end w:w="120" w:type="dxa"/>
            </w:tcMar>
            <w:vAlign w:val="center"/>
          </w:tcPr>
          <w:p>
            <w:pPr>
              <w:spacing w:after="200"/>
            </w:pPr>
            <w:r>
              <w:t xml:space="preserve"> </w:t>
            </w:r>
          </w:p>
        </w:tc>
      </w:tr>
      <w:tr>
        <w:tc>
          <w:tcPr>
            <w:tcW w:type="dxa" w:w="3300"/>
            <w:tcBorders>
              <w:top w:val="nil"/>
              <w:bottom w:val="nil"/>
              <w:left w:val="nil"/>
              <w:right w:val="nil"/>
            </w:tcBorders>
            <w:tcMar>
              <w:top w:w="110" w:type="dxa"/>
              <w:start w:w="120" w:type="dxa"/>
              <w:bottom w:w="110" w:type="dxa"/>
              <w:end w:w="120" w:type="dxa"/>
            </w:tcMar>
            <w:vAlign w:val="center"/>
          </w:tcPr>
          <w:p>
            <w:r>
              <w:rPr>
                <w:rFonts w:ascii="Calibri" w:hAnsi="Calibri"/>
                <w:b/>
                <w:i w:val="0"/>
                <w:color w:val="56676E"/>
                <w:sz w:val="18"/>
              </w:rPr>
              <w:t>Signature and date</w:t>
            </w:r>
          </w:p>
        </w:tc>
        <w:tc>
          <w:tcPr>
            <w:tcW w:type="dxa" w:w="6060"/>
            <w:tcBorders>
              <w:bottom w:val="single" w:sz="6" w:space="2" w:color="9AA9AF"/>
              <w:top w:val="nil"/>
              <w:left w:val="nil"/>
              <w:right w:val="nil"/>
            </w:tcBorders>
            <w:tcMar>
              <w:top w:w="110" w:type="dxa"/>
              <w:start w:w="120" w:type="dxa"/>
              <w:bottom w:w="110" w:type="dxa"/>
              <w:end w:w="120" w:type="dxa"/>
            </w:tcMar>
            <w:vAlign w:val="center"/>
          </w:tcPr>
          <w:p>
            <w:pPr>
              <w:spacing w:after="200"/>
            </w:pPr>
            <w:r>
              <w:t xml:space="preserve"> </w:t>
            </w:r>
          </w:p>
        </w:tc>
      </w:tr>
    </w:tbl>
    <w:p>
      <w:pPr>
        <w:spacing w:before="320" w:after="0"/>
        <w:jc w:val="center"/>
      </w:pPr>
      <w:r>
        <w:rPr>
          <w:rFonts w:ascii="Calibri" w:hAnsi="Calibri"/>
          <w:b w:val="0"/>
          <w:i w:val="0"/>
          <w:color w:val="56676E"/>
          <w:sz w:val="17"/>
        </w:rPr>
        <w:t>Pollock Piano  ·  Lady Lake, FL 32159  ·  jboropiano@gmail.com  ·  870-219-9664</w:t>
      </w:r>
    </w:p>
    <w:sectPr w:rsidR="00FC693F" w:rsidRPr="0006063C" w:rsidSect="00034616">
      <w:headerReference w:type="default" r:id="rId9"/>
      <w:footerReference w:type="default" r:id="rId10"/>
      <w:pgSz w:w="12240" w:h="15840"/>
      <w:pgMar w:top="1152" w:right="1440" w:bottom="1123"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000" w:val="left"/>
      </w:tabs>
      <w:spacing w:before="60"/>
      <w:jc w:val="right"/>
    </w:pPr>
    <w:r>
      <w:rPr>
        <w:rFonts w:ascii="Calibri" w:hAnsi="Calibri"/>
        <w:b w:val="0"/>
        <w:i w:val="0"/>
        <w:color w:val="56676E"/>
        <w:sz w:val="17"/>
      </w:rPr>
      <w:t>Studio Policy · Updated July 2026</w:t>
    </w:r>
    <w:r>
      <w:tab/>
    </w:r>
    <w:r>
      <w:rPr>
        <w:rFonts w:ascii="Calibri" w:hAnsi="Calibri"/>
        <w:b w:val="0"/>
        <w:i w:val="0"/>
        <w:color w:val="56676E"/>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60"/>
      <w:jc w:val="left"/>
      <w:pBdr>
        <w:bottom w:val="single" w:sz="6" w:space="5" w:color="D5DDE0"/>
      </w:pBdr>
    </w:pPr>
    <w:r>
      <w:rPr>
        <w:rFonts w:ascii="Calibri" w:hAnsi="Calibri"/>
        <w:b/>
        <w:i w:val="0"/>
        <w:color w:val="56676E"/>
        <w:sz w:val="17"/>
      </w:rPr>
      <w:t>POLLOCK PIANO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300"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02A3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647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647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Pollock Piano Policy</dc:title>
  <dc:subject>Lesson rates, attendance, payment, practice, and studio expectations</dc:subject>
  <dc:creator>Pollock Piano</dc:creator>
  <cp:keywords>piano lessons, studio policy, Lady Lake</cp:keywords>
  <dc:description>generated by python-docx</dc:description>
  <cp:lastModifiedBy/>
  <cp:revision>1</cp:revision>
  <dcterms:created xsi:type="dcterms:W3CDTF">2013-12-23T23:15:00Z</dcterms:created>
  <dcterms:modified xsi:type="dcterms:W3CDTF">2013-12-23T23:15:00Z</dcterms:modified>
  <cp:category/>
</cp:coreProperties>
</file>